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49CE" w14:textId="77777777" w:rsidR="00F1232B" w:rsidRPr="00F1232B" w:rsidRDefault="00F1232B" w:rsidP="00F1232B">
      <w:pPr>
        <w:pageBreakBefore/>
        <w:spacing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Anexa 9 la Ghidul solicitantului</w:t>
      </w:r>
    </w:p>
    <w:p w14:paraId="53671BCE" w14:textId="77777777" w:rsidR="00F1232B" w:rsidRPr="00F1232B" w:rsidRDefault="00F1232B" w:rsidP="00F1232B">
      <w:pPr>
        <w:keepNext/>
        <w:keepLines/>
        <w:spacing w:before="160" w:after="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Ref507509691"/>
      <w:bookmarkStart w:id="1" w:name="_Toc5716163"/>
      <w:bookmarkStart w:id="2" w:name="_Toc67042637"/>
      <w:bookmarkStart w:id="3" w:name="_Toc191892091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</w:t>
      </w:r>
      <w:bookmarkEnd w:id="0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egulament</w:t>
      </w:r>
      <w:bookmarkEnd w:id="1"/>
      <w:bookmarkEnd w:id="2"/>
      <w:bookmarkEnd w:id="3"/>
    </w:p>
    <w:p w14:paraId="35A2A1FA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2CBC20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privind procedurile de decontare a cheltuielilor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acordarea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de la bugetul local al Municipiului Odorheiu Secuiesc pentru sprijinirea de programe, proiecte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interes local</w:t>
      </w:r>
    </w:p>
    <w:p w14:paraId="3E39FC54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conformitate cu prevederile Legii nr 350/2005</w:t>
      </w:r>
      <w:r w:rsidRPr="00F123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privind regimul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finanţărilor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din fonduri publice alocate pentru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nonprofit de interes general, cu completările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modificările ulterioare, Municipiul Odorheiu Secuiesc derulează în fiecare an programe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în vederea acordării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pentru realizarea diferitelor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organizaţiilor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neguvernamentale locale.</w:t>
      </w:r>
    </w:p>
    <w:p w14:paraId="51920126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nerambursabilă acordată se utilizează de către persoanele fizice sau juridice de drept public sau privat, autorizate, respectiv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înfiinţate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legii române în completarea veniturilor proprii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celor sub formă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donaţii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sau sponsorizări.</w:t>
      </w:r>
    </w:p>
    <w:p w14:paraId="6942F874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acordate nu pot fi folosite pentru acoperirea unor debite ale beneficiarilor sau pentru cheltuieli salariale ale persoanelor fizice sau juridice de drept public beneficiare.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nu pot fi utilizate pentru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generatoare de profit. 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se acordă pe bază de contracte încheiate cu beneficiarii, în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legii.</w:t>
      </w:r>
    </w:p>
    <w:p w14:paraId="49425853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Dacă în termen de 30 de zile lucrătoare  de la data comunicării rezultatului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selecţiei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persoana fizică sau juridică de drept public sau privat, autorizate, respectiv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înfiinţate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legii române,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selecţionată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se prezintă pentru încheierea contractului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 consideră ca oferta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a fost acceptată, iar proiectele în cauză se elimină de la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434E5C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Procedura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acestor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este următoarea:</w:t>
      </w:r>
    </w:p>
    <w:p w14:paraId="5E21C99B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 termen de cel mult 15 de zile lucrătoare de la finalizarea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acţiunii,beneficiarul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este obligat să depună la sediul Municipiului Odorheiu Secuiesc documentele justificative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raportul final de activitate – pentru verificare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eventualele completări în termen, de 5 zile lucrătoare de la notificare. Decontarea sprijinului financiar se poate completa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trimis online pe platforma </w:t>
      </w:r>
      <w:hyperlink r:id="rId5" w:history="1">
        <w:r w:rsidRPr="00F1232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www.udvarhely.ro/online-palyazati-felulet</w:t>
        </w:r>
      </w:hyperlink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sau depus la registratură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sau trimisă prin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poştă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/telegramă/telex/telefax la adresa Primăriei Municipiului Odorheiu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Secueisc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, situat la adresa </w:t>
      </w:r>
      <w:r w:rsidRPr="00F1232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 xml:space="preserve">piața </w:t>
      </w:r>
      <w:proofErr w:type="spellStart"/>
      <w:r w:rsidRPr="00F1232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>Városh</w:t>
      </w:r>
      <w:proofErr w:type="spellEnd"/>
      <w:r w:rsidRPr="00F1232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:lang w:val="hu-HU"/>
          <w14:ligatures w14:val="none"/>
        </w:rPr>
        <w:t>á</w:t>
      </w:r>
      <w:r w:rsidRPr="00F1232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>za, nr.5, tel./fax: 0266218145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1402343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 cazul de depunere online a raportului final/intermediar etapele depunerii online a propunerilor de proiecte sunt: completarea raportului final/intermediar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încărcarea documentelor justificative cerute, generarea numărului de înregistrare, descărcarea raportului final/intermediar, semnarea electronică a raportului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documentelor, încărcarea raportului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documentelor semnate electronic pe platforma online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finalizarea procedurii. În cazul depunerii online a raportului final, autoritatea finanțatoare poate solicita documentele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original.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 </w:t>
      </w:r>
    </w:p>
    <w:p w14:paraId="2495A705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Municipiul Odorheiu Secuiesc va efectua plata către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organizaţii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fundaţii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 virament în contul bancar al acestora într-o singură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tranşă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respectiv în două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tranşe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conform celor precizate în contractul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după validarea raportului intermediar/final de activitate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raportului financiar, pe baza documentelor justificative ale cheltuielilor, conform contractului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nerambursabilă, până la data limită prevăzută în contractul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nerambursabilă.</w:t>
      </w:r>
    </w:p>
    <w:p w14:paraId="1C3530F4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 baza prevederilor Legii nr 350/2005 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finanţările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nerambursabile trebuie 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însoţite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o 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contribuţie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proprie de minimum 10% din valoarea totală a 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finanţării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partea beneficiarului. Astfel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beneficiară  trebuie să prezinte documentele justificative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pentru suma ce reprezintă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contribuţia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proprie (factură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chitanţă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sau ordin de plată). </w:t>
      </w:r>
    </w:p>
    <w:p w14:paraId="3FA3B4B7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Plata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partea Municipiului Odorheiu Secuiesc către beneficiar este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condiţionată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prezentarea, în raportul financiar, a documentelor justificative privind efectuarea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plăţilor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pentru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contribuţia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proprie de min.10%.</w:t>
      </w:r>
    </w:p>
    <w:p w14:paraId="0658B38A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Documentele privind eventualele sume provenite de la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finanţatori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(alte surse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vor fi înscrise în raportul financiar fără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a prezenta documentele justificative aferente acestora.</w:t>
      </w:r>
    </w:p>
    <w:p w14:paraId="13EC6D8F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Observaţie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33B1CE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 baza prevederilor art.4 din Legea nr. 350/2005 cu completările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modificările ulterioare privind principiul 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neretroactivităţii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autoritatea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finanţatoare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poate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programe care au fost începute sau se află în curs de derulare în momentul încheierii contractului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0A392825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Deasemenea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nu se acordă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pentru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 presupun dezvoltarea infrastructurii proprie a solicitantului, cu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cazului în care aceasta reprezintă o componentă indispensabilă proiectului.</w:t>
      </w:r>
    </w:p>
    <w:p w14:paraId="4DC5D41B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 justificarea cheltuielilor, beneficiarul trebuie să prezinte următoarele documente:</w:t>
      </w:r>
    </w:p>
    <w:p w14:paraId="3966E048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Raportul intermediar/final de activitate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(conform modelului anexat prezentei),</w:t>
      </w: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semnat de către coordonatorul (responsabil) de proiect, care trebuie să cuprindă date referitoare la:</w:t>
      </w:r>
    </w:p>
    <w:p w14:paraId="3AB70725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Raport de Activitate</w:t>
      </w:r>
    </w:p>
    <w:p w14:paraId="1A99D9E1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perioada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locul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programului,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 beneficiari;</w:t>
      </w:r>
    </w:p>
    <w:p w14:paraId="1B485280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acţiunile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desfăşurate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cadrul programului; </w:t>
      </w:r>
    </w:p>
    <w:p w14:paraId="4091B019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rezultate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obţinute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indicatori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precişi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performanţă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eficienţă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gradul de îndeplinire al obiectivelor propuse ;</w:t>
      </w:r>
    </w:p>
    <w:p w14:paraId="301D8061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contribuţia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partenerilor la realizarea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6D2E625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impact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posibilităţi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continuare 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3D422A3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reflectarea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mass media;</w:t>
      </w:r>
    </w:p>
    <w:p w14:paraId="4C41912B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concluzii.</w:t>
      </w:r>
    </w:p>
    <w:p w14:paraId="0A6B032E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>Raportul financiar</w:t>
      </w: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665A60C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despre finanțare (valoarea totală, contribuția municipiului și a beneficiarului)</w:t>
      </w:r>
    </w:p>
    <w:p w14:paraId="449FE5E3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tipul cheltuielilor conform bugetului contractat și  realizat</w:t>
      </w:r>
    </w:p>
    <w:p w14:paraId="454312E7" w14:textId="77777777" w:rsidR="00F1232B" w:rsidRPr="00F1232B" w:rsidRDefault="00F1232B" w:rsidP="00F1232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decontul de cheltuieli, adică situația centralizatoare a cheltuielilor conform documentelor justificative anexate</w:t>
      </w:r>
    </w:p>
    <w:p w14:paraId="3938EECD" w14:textId="77777777" w:rsidR="00F1232B" w:rsidRPr="00F1232B" w:rsidRDefault="00F1232B" w:rsidP="00F1232B">
      <w:pPr>
        <w:spacing w:after="120" w:line="240" w:lineRule="auto"/>
        <w:ind w:left="748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Observaţie</w:t>
      </w:r>
      <w:proofErr w:type="spellEnd"/>
      <w:r w:rsidRPr="00F123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: </w:t>
      </w:r>
    </w:p>
    <w:p w14:paraId="582E01DE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Raporturile de activitate trebuie să fie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însoţite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de: copii ale reportajelor,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ştirilor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publicate în mass media, fotografii despre eveniment, câte un exemplar original al materialelor publicitare sau promovare utilizate (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broşuri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pliante,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afişe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fotografii cu bannere, etc.), un program detaliat al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activităţilor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123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lista </w:t>
      </w:r>
      <w:proofErr w:type="spellStart"/>
      <w:r w:rsidRPr="00F123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participanţilor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tabelului de mai jos.</w:t>
      </w:r>
    </w:p>
    <w:p w14:paraId="780A81DA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Cheltuieli eligibile</w:t>
      </w:r>
    </w:p>
    <w:p w14:paraId="46249117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Următoarele categorii de cheltuieli sunt eligibile în cadrul programelor proprii ale Municipiului Odorheiu Secuiesc privind acordarea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nerambursabile pe baza prevederilor legii.</w:t>
      </w:r>
    </w:p>
    <w:p w14:paraId="03DEF3CE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Cheltuieli privind onorariile/fond de premii: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aceste cheltuieli includ</w:t>
      </w: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onorariile pentru personalul de specialitate direct implicat în derularea proiectului.</w:t>
      </w:r>
    </w:p>
    <w:p w14:paraId="1B3BCE26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Cheltuieli privind cazarea 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masa: </w:t>
      </w:r>
    </w:p>
    <w:p w14:paraId="60605701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Cheltuielile de cazare se pot efectua pe cât posibil pentru servicii de cazare în regim maxim de 3 stele. </w:t>
      </w:r>
    </w:p>
    <w:p w14:paraId="6AF69AFA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Cheltuieli de masă (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20% din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privind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achiziţionarea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alimentelor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materialelor necesare pentru pregătirea gustărilor sau pentru pregătirea pachetelor de hrană.</w:t>
      </w:r>
    </w:p>
    <w:p w14:paraId="11A44BF4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Cheltuieli de transport: </w:t>
      </w:r>
    </w:p>
    <w:p w14:paraId="67028F1A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Această categorie cuprinde cheltuielile privind biletele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abonamentele de transport, bonuri de benzină, cheltuielile privind transportul echipamentelor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materialelor.</w:t>
      </w:r>
    </w:p>
    <w:p w14:paraId="6838D2E0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Transportul se va realiza pe cât posibil cu cele mai ieftine mijloace de transport existente, la clasa a II-a.</w:t>
      </w:r>
    </w:p>
    <w:p w14:paraId="66FED3EF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Cheltuieli privind serviciile:</w:t>
      </w:r>
    </w:p>
    <w:p w14:paraId="59155BA1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Servicii de închiriere:</w:t>
      </w: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închirieri echipamente, mijloace de transport, săli pentru organizarea diferitelor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conferinţe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seminarii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cursuri, expoziții, spectacole, etc.), închirieri echipamente sau spatii culturale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sportive.</w:t>
      </w:r>
    </w:p>
    <w:p w14:paraId="2369073B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Servicii de </w:t>
      </w:r>
      <w:proofErr w:type="spellStart"/>
      <w:r w:rsidRPr="00F123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consultanţă</w:t>
      </w:r>
      <w:proofErr w:type="spellEnd"/>
      <w:r w:rsidRPr="00F123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: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partea unor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specialişti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diferite domenii, direct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implicaţi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proiect.</w:t>
      </w:r>
    </w:p>
    <w:p w14:paraId="0F4730D0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Servicii de publicitate: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editarea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tipărirea unor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publicaţii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broşuri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pliante,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afişe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bannere, etc. –,   traducerea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tehnoredactarea unor materiale,  realizare de filme, developări fotografii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vizibilitate,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apariţii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în mass media</w:t>
      </w:r>
    </w:p>
    <w:p w14:paraId="39284EE4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Cheltuieli privind materialele consumabile </w:t>
      </w: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echipamente, dotări: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rechizite de birou, materiale protocol, materiale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curăţat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materiale sanitare, materiale si echipamente necesare derulării programelor.</w:t>
      </w:r>
    </w:p>
    <w:p w14:paraId="5A674490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Cheltuieli administrative :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telefon, fax, apă, canalizare, electricitate, gaze, încălzire.-Max 10% din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finanţare</w:t>
      </w:r>
      <w:proofErr w:type="spellEnd"/>
    </w:p>
    <w:p w14:paraId="46BE29F2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Alte cheltuieli: </w:t>
      </w: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 descrierea detailată a cheltuielilor.</w:t>
      </w:r>
    </w:p>
    <w:p w14:paraId="085BF665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B082D20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12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Documentele justificative ale diferitelor categorii cheltuieli</w:t>
      </w:r>
    </w:p>
    <w:p w14:paraId="13B7F374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Facturile sunt completate cu toate datele necesare din punct de vedere al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conţinutului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detalierea exactă a produselor sau serviciilor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achiziţionate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formei – numărul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emiterii, emitentul documentului.</w:t>
      </w:r>
    </w:p>
    <w:p w14:paraId="13035FEB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Documentele justificative care stau la baza înregistrărilor în contabilitate angajează răspunderea persoanelor care le-au întocmit, vizat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aprobat, precum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celor care le-au înregistrat în contabilitate.</w:t>
      </w:r>
    </w:p>
    <w:p w14:paraId="03836562" w14:textId="77777777" w:rsidR="00F1232B" w:rsidRPr="00F1232B" w:rsidRDefault="00F1232B" w:rsidP="00F1232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Instrumentele de plată trebuie să fie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însoţite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documentele justificative. Aceste documente trebuie să certifice exactitatea sumelor de plată,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recepţia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bunurilor, executarea serviciilor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altele asemenea, conform angajamentelor legale încheiate. Instrumentele de plată se semnează de către contabil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şeful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compartimentului financiar-contabil.</w:t>
      </w:r>
    </w:p>
    <w:p w14:paraId="62D51E1E" w14:textId="77777777" w:rsidR="00F1232B" w:rsidRPr="00F1232B" w:rsidRDefault="00F1232B" w:rsidP="00F1232B">
      <w:pPr>
        <w:pageBreakBefore/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F1232B" w:rsidRPr="00F1232B" w:rsidSect="00F1232B">
          <w:footerReference w:type="default" r:id="rId6"/>
          <w:pgSz w:w="11907" w:h="16839" w:code="9"/>
          <w:pgMar w:top="851" w:right="737" w:bottom="992" w:left="1559" w:header="567" w:footer="0" w:gutter="0"/>
          <w:cols w:space="720"/>
          <w:titlePg/>
          <w:docGrid w:linePitch="360"/>
        </w:sectPr>
      </w:pPr>
    </w:p>
    <w:p w14:paraId="24F1439C" w14:textId="77777777" w:rsidR="00F1232B" w:rsidRPr="00F1232B" w:rsidRDefault="00F1232B" w:rsidP="00F1232B">
      <w:pPr>
        <w:pageBreakBefore/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În vederea </w:t>
      </w:r>
      <w:proofErr w:type="spellStart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finanţării</w:t>
      </w:r>
      <w:proofErr w:type="spellEnd"/>
      <w:r w:rsidRPr="00F123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programului, beneficiarul trebuie să prezinte pentru diferitele categorii de cheltuieli următoarele documente justificative: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170"/>
        <w:gridCol w:w="2520"/>
        <w:gridCol w:w="1710"/>
        <w:gridCol w:w="1980"/>
        <w:gridCol w:w="4590"/>
      </w:tblGrid>
      <w:tr w:rsidR="00F1232B" w:rsidRPr="00F1232B" w14:paraId="782727DF" w14:textId="77777777" w:rsidTr="0008091F">
        <w:trPr>
          <w:jc w:val="center"/>
        </w:trPr>
        <w:tc>
          <w:tcPr>
            <w:tcW w:w="2245" w:type="dxa"/>
            <w:shd w:val="clear" w:color="auto" w:fill="D9D9D9"/>
            <w:vAlign w:val="center"/>
          </w:tcPr>
          <w:p w14:paraId="56BB81ED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Categorii de cheltuieli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72743B29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Contract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700E7A78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Factură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67D410E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Chitanţă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sau ordin de plată (OP)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3E35B2D8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Alte documente </w:t>
            </w:r>
          </w:p>
        </w:tc>
        <w:tc>
          <w:tcPr>
            <w:tcW w:w="4590" w:type="dxa"/>
            <w:shd w:val="clear" w:color="auto" w:fill="D9D9D9"/>
            <w:vAlign w:val="center"/>
          </w:tcPr>
          <w:p w14:paraId="2D1ACC94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Alte documente</w:t>
            </w:r>
          </w:p>
        </w:tc>
      </w:tr>
      <w:tr w:rsidR="00F1232B" w:rsidRPr="00F1232B" w14:paraId="1C47F362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11319B9D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Cheltuieli privind onorariile</w:t>
            </w:r>
          </w:p>
        </w:tc>
        <w:tc>
          <w:tcPr>
            <w:tcW w:w="1170" w:type="dxa"/>
            <w:shd w:val="clear" w:color="auto" w:fill="auto"/>
          </w:tcPr>
          <w:p w14:paraId="372B846B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2520" w:type="dxa"/>
            <w:shd w:val="clear" w:color="auto" w:fill="auto"/>
          </w:tcPr>
          <w:p w14:paraId="1B83C10F" w14:textId="77777777" w:rsidR="00F1232B" w:rsidRPr="00F1232B" w:rsidRDefault="00F1232B" w:rsidP="00F1232B">
            <w:pPr>
              <w:spacing w:after="12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1710" w:type="dxa"/>
            <w:shd w:val="clear" w:color="auto" w:fill="auto"/>
          </w:tcPr>
          <w:p w14:paraId="28921B2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 /stat de plată/dispoziție de plată</w:t>
            </w:r>
          </w:p>
        </w:tc>
        <w:tc>
          <w:tcPr>
            <w:tcW w:w="1980" w:type="dxa"/>
            <w:shd w:val="clear" w:color="auto" w:fill="auto"/>
          </w:tcPr>
          <w:p w14:paraId="0828F56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-raport de activitate </w:t>
            </w:r>
          </w:p>
          <w:p w14:paraId="265A128F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Dispoziţie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plată/extras de cont</w:t>
            </w:r>
          </w:p>
        </w:tc>
        <w:tc>
          <w:tcPr>
            <w:tcW w:w="4590" w:type="dxa"/>
            <w:shd w:val="clear" w:color="auto" w:fill="auto"/>
          </w:tcPr>
          <w:p w14:paraId="6886B1A4" w14:textId="2CFB8BCE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declarația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propria răspundere din care reiese că  suma nu repriză  costuri pentru personalul propriu al 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organizației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desemnat pentru proiect</w:t>
            </w:r>
          </w:p>
          <w:p w14:paraId="1259DB8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232B" w:rsidRPr="00F1232B" w14:paraId="79FBACDE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0F50BD9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Cheltuileli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privind premii</w:t>
            </w:r>
          </w:p>
        </w:tc>
        <w:tc>
          <w:tcPr>
            <w:tcW w:w="1170" w:type="dxa"/>
            <w:shd w:val="clear" w:color="auto" w:fill="auto"/>
          </w:tcPr>
          <w:p w14:paraId="2784F151" w14:textId="77777777" w:rsidR="00F1232B" w:rsidRPr="00F1232B" w:rsidRDefault="00F1232B" w:rsidP="00F1232B">
            <w:pPr>
              <w:spacing w:after="12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14:paraId="322A6627" w14:textId="77777777" w:rsidR="00F1232B" w:rsidRPr="00F1232B" w:rsidRDefault="00F1232B" w:rsidP="00F1232B">
            <w:pPr>
              <w:spacing w:after="12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0" w:type="dxa"/>
            <w:shd w:val="clear" w:color="auto" w:fill="auto"/>
          </w:tcPr>
          <w:p w14:paraId="1F9DA2B6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Da/ stat de plată, în cazul fond de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premierer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dispoziţie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plată</w:t>
            </w:r>
          </w:p>
        </w:tc>
        <w:tc>
          <w:tcPr>
            <w:tcW w:w="1980" w:type="dxa"/>
            <w:shd w:val="clear" w:color="auto" w:fill="auto"/>
          </w:tcPr>
          <w:p w14:paraId="7D77F0F6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-lista premianților</w:t>
            </w:r>
          </w:p>
        </w:tc>
        <w:tc>
          <w:tcPr>
            <w:tcW w:w="4590" w:type="dxa"/>
            <w:shd w:val="clear" w:color="auto" w:fill="auto"/>
          </w:tcPr>
          <w:p w14:paraId="7D640D31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decizia juriului, regulament de jurizare, lista cu numele premiaților, obiect/suma și semnătura premiaților</w:t>
            </w:r>
          </w:p>
          <w:p w14:paraId="025B0C83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232B" w:rsidRPr="00F1232B" w14:paraId="4C473E1D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4723B218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Cheltuieli privind cazarea </w:t>
            </w:r>
          </w:p>
        </w:tc>
        <w:tc>
          <w:tcPr>
            <w:tcW w:w="1170" w:type="dxa"/>
            <w:shd w:val="clear" w:color="auto" w:fill="auto"/>
          </w:tcPr>
          <w:p w14:paraId="3F740D6C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2520" w:type="dxa"/>
            <w:shd w:val="clear" w:color="auto" w:fill="auto"/>
          </w:tcPr>
          <w:p w14:paraId="6233C5BE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DA: factură electronică emisă, trimisă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primită prin sistemul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e-Factură, ce va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conţine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detalii referitoare la numărul persoanelor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nopţilor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7735FE3C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1980" w:type="dxa"/>
            <w:shd w:val="clear" w:color="auto" w:fill="auto"/>
          </w:tcPr>
          <w:p w14:paraId="6D67396F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-lista cazare  </w:t>
            </w:r>
          </w:p>
          <w:p w14:paraId="2C13380F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 de cont</w:t>
            </w:r>
          </w:p>
        </w:tc>
        <w:tc>
          <w:tcPr>
            <w:tcW w:w="4590" w:type="dxa"/>
            <w:shd w:val="clear" w:color="auto" w:fill="auto"/>
          </w:tcPr>
          <w:p w14:paraId="785A5E1A" w14:textId="719A0B68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Diagramă de cazare emisă de la 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unitatea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primire, care va conține perioada de cazare cât și numărul de persoane cazate, dacă factura nu este detaliată.</w:t>
            </w:r>
          </w:p>
          <w:p w14:paraId="3DD916A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232B" w:rsidRPr="00F1232B" w14:paraId="1F7B58C7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6426CDE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Cheltuieli privind masa: </w:t>
            </w:r>
          </w:p>
          <w:p w14:paraId="3FB5076E" w14:textId="77777777" w:rsidR="00F1232B" w:rsidRPr="00F1232B" w:rsidRDefault="00F1232B" w:rsidP="00F1232B">
            <w:pPr>
              <w:spacing w:after="12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1EEAE6DF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2520" w:type="dxa"/>
            <w:shd w:val="clear" w:color="auto" w:fill="auto"/>
          </w:tcPr>
          <w:p w14:paraId="34A7BFAC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DA: factură electronică emisă, trimisă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primită prin sistemul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e-Factură, ce va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conţine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detalii referitoare la numărul persoanelor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meselor servite</w:t>
            </w:r>
          </w:p>
        </w:tc>
        <w:tc>
          <w:tcPr>
            <w:tcW w:w="1710" w:type="dxa"/>
            <w:shd w:val="clear" w:color="auto" w:fill="auto"/>
          </w:tcPr>
          <w:p w14:paraId="2270E7F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1980" w:type="dxa"/>
            <w:shd w:val="clear" w:color="auto" w:fill="auto"/>
          </w:tcPr>
          <w:p w14:paraId="60802807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-pontaj masă </w:t>
            </w:r>
          </w:p>
          <w:p w14:paraId="2F8C75F3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 de cont</w:t>
            </w:r>
          </w:p>
        </w:tc>
        <w:tc>
          <w:tcPr>
            <w:tcW w:w="4590" w:type="dxa"/>
            <w:shd w:val="clear" w:color="auto" w:fill="auto"/>
          </w:tcPr>
          <w:p w14:paraId="3A95CA36" w14:textId="310DB553" w:rsidR="00F1232B" w:rsidRPr="00F1232B" w:rsidRDefault="00F1232B" w:rsidP="00F1232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Pontaj de masă 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conform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anexei</w:t>
            </w:r>
          </w:p>
        </w:tc>
      </w:tr>
      <w:tr w:rsidR="00F1232B" w:rsidRPr="00F1232B" w14:paraId="00E1F14D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5A0997FE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Cheltuieli de transport</w:t>
            </w:r>
          </w:p>
        </w:tc>
        <w:tc>
          <w:tcPr>
            <w:tcW w:w="1170" w:type="dxa"/>
            <w:shd w:val="clear" w:color="auto" w:fill="auto"/>
          </w:tcPr>
          <w:p w14:paraId="3D18D2F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2520" w:type="dxa"/>
            <w:shd w:val="clear" w:color="auto" w:fill="auto"/>
          </w:tcPr>
          <w:p w14:paraId="7C628347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DA: factură electronică emisă, trimisă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primită prin sistemul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e-Factură, ce va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conţine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detalii referitoare la numărul persoanelor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numărul de kilometri</w:t>
            </w:r>
          </w:p>
        </w:tc>
        <w:tc>
          <w:tcPr>
            <w:tcW w:w="1710" w:type="dxa"/>
            <w:shd w:val="clear" w:color="auto" w:fill="auto"/>
          </w:tcPr>
          <w:p w14:paraId="6A533F6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DA</w:t>
            </w:r>
          </w:p>
        </w:tc>
        <w:tc>
          <w:tcPr>
            <w:tcW w:w="1980" w:type="dxa"/>
            <w:shd w:val="clear" w:color="auto" w:fill="auto"/>
          </w:tcPr>
          <w:p w14:paraId="16B4B2D5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-lista de calatori </w:t>
            </w:r>
          </w:p>
          <w:p w14:paraId="2D3D4961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 de cont</w:t>
            </w:r>
          </w:p>
        </w:tc>
        <w:tc>
          <w:tcPr>
            <w:tcW w:w="4590" w:type="dxa"/>
            <w:shd w:val="clear" w:color="auto" w:fill="auto"/>
          </w:tcPr>
          <w:p w14:paraId="2334EA54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1, bonuri de benzină cu indicarea datei și locul plecării și sosirii, bilete și abonamente de călătorie,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delegaţie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sau decont.(pt.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maşina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personala, se pot deconta max. 7,5 l/km)</w:t>
            </w:r>
          </w:p>
          <w:p w14:paraId="400E550F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2, foaie de parcurs, km parcurs si stampilat la locul de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destinaţie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(pt.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maşina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instituţiei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se pot deconta max. 7,5 l/km)</w:t>
            </w:r>
          </w:p>
        </w:tc>
      </w:tr>
      <w:tr w:rsidR="00F1232B" w:rsidRPr="00F1232B" w14:paraId="0B7067BA" w14:textId="77777777" w:rsidTr="0008091F">
        <w:trPr>
          <w:trHeight w:val="1428"/>
          <w:jc w:val="center"/>
        </w:trPr>
        <w:tc>
          <w:tcPr>
            <w:tcW w:w="2245" w:type="dxa"/>
            <w:shd w:val="clear" w:color="auto" w:fill="auto"/>
          </w:tcPr>
          <w:p w14:paraId="76F2CA12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Cheltuieli privind serviciile</w:t>
            </w:r>
            <w:r w:rsidRPr="00F1232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(Servicii de închiriere, Servicii de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consultanţă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5B3F1018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2520" w:type="dxa"/>
            <w:shd w:val="clear" w:color="auto" w:fill="auto"/>
          </w:tcPr>
          <w:p w14:paraId="1D596254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1710" w:type="dxa"/>
            <w:shd w:val="clear" w:color="auto" w:fill="auto"/>
          </w:tcPr>
          <w:p w14:paraId="091E02C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1980" w:type="dxa"/>
            <w:shd w:val="clear" w:color="auto" w:fill="auto"/>
          </w:tcPr>
          <w:p w14:paraId="5F5DC3CA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Dispoziţie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plată/extras de cont</w:t>
            </w:r>
          </w:p>
        </w:tc>
        <w:tc>
          <w:tcPr>
            <w:tcW w:w="4590" w:type="dxa"/>
            <w:shd w:val="clear" w:color="auto" w:fill="auto"/>
          </w:tcPr>
          <w:p w14:paraId="2B2D165E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Raport de activitate/ proces verbal de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recepţie</w:t>
            </w:r>
            <w:proofErr w:type="spellEnd"/>
          </w:p>
          <w:p w14:paraId="7BBFE2E5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232B" w:rsidRPr="00F1232B" w14:paraId="05F19808" w14:textId="77777777" w:rsidTr="0008091F">
        <w:trPr>
          <w:trHeight w:val="1617"/>
          <w:jc w:val="center"/>
        </w:trPr>
        <w:tc>
          <w:tcPr>
            <w:tcW w:w="2245" w:type="dxa"/>
            <w:shd w:val="clear" w:color="auto" w:fill="auto"/>
          </w:tcPr>
          <w:p w14:paraId="7247F9D9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Cheltuieli de publicitate</w:t>
            </w:r>
          </w:p>
        </w:tc>
        <w:tc>
          <w:tcPr>
            <w:tcW w:w="1170" w:type="dxa"/>
            <w:shd w:val="clear" w:color="auto" w:fill="auto"/>
          </w:tcPr>
          <w:p w14:paraId="4E48EB46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2520" w:type="dxa"/>
            <w:shd w:val="clear" w:color="auto" w:fill="auto"/>
          </w:tcPr>
          <w:p w14:paraId="5E76B691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DA: factură electronică emisă, trimisă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primită prin sistemul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e-Factură, cu indicarea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publicaţiilor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au fost editate sau în care a apărut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anunţul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B46C639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;( nr. buc,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preţ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unitar,)</w:t>
            </w:r>
          </w:p>
        </w:tc>
        <w:tc>
          <w:tcPr>
            <w:tcW w:w="1980" w:type="dxa"/>
            <w:shd w:val="clear" w:color="auto" w:fill="auto"/>
          </w:tcPr>
          <w:p w14:paraId="352F419D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-notă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recepţie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bon consum</w:t>
            </w:r>
          </w:p>
          <w:p w14:paraId="70F4F3C2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 de cont</w:t>
            </w:r>
          </w:p>
        </w:tc>
        <w:tc>
          <w:tcPr>
            <w:tcW w:w="4590" w:type="dxa"/>
            <w:shd w:val="clear" w:color="auto" w:fill="auto"/>
          </w:tcPr>
          <w:p w14:paraId="00383D83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-câte un exemplar din fiecare material realizat.</w:t>
            </w:r>
          </w:p>
          <w:p w14:paraId="089C6A97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-copii după articolele apărute în mass media</w:t>
            </w:r>
          </w:p>
          <w:p w14:paraId="73B1C579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-fotografii despre materialele realizate</w:t>
            </w:r>
          </w:p>
        </w:tc>
      </w:tr>
      <w:tr w:rsidR="00F1232B" w:rsidRPr="00F1232B" w14:paraId="17298A42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20621073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Cheltuieli privind materialele consumabile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echipamentele:</w:t>
            </w:r>
          </w:p>
        </w:tc>
        <w:tc>
          <w:tcPr>
            <w:tcW w:w="1170" w:type="dxa"/>
            <w:shd w:val="clear" w:color="auto" w:fill="auto"/>
          </w:tcPr>
          <w:p w14:paraId="6D1DBF53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2520" w:type="dxa"/>
            <w:shd w:val="clear" w:color="auto" w:fill="auto"/>
          </w:tcPr>
          <w:p w14:paraId="2941D228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DA: factură electronică emisă, trimisă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primită prin sistemul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e-Factură, ce va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conţine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detalii privind materialele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echipamentele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achiziţionate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D281DE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(nr. buc,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preţ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unitar,)</w:t>
            </w:r>
          </w:p>
        </w:tc>
        <w:tc>
          <w:tcPr>
            <w:tcW w:w="1980" w:type="dxa"/>
            <w:shd w:val="clear" w:color="auto" w:fill="auto"/>
          </w:tcPr>
          <w:p w14:paraId="670EEFF1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-notă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recepţie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bon consum/ lista de inventar </w:t>
            </w:r>
          </w:p>
          <w:p w14:paraId="4317DB06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 de cont</w:t>
            </w:r>
          </w:p>
          <w:p w14:paraId="053A534B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proces verbal de punere în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recepţie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punere în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funcţiune</w:t>
            </w:r>
            <w:proofErr w:type="spellEnd"/>
          </w:p>
        </w:tc>
        <w:tc>
          <w:tcPr>
            <w:tcW w:w="4590" w:type="dxa"/>
            <w:shd w:val="clear" w:color="auto" w:fill="auto"/>
          </w:tcPr>
          <w:p w14:paraId="299A1D1E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-în cazul echipamentelor nu poate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depăşi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suma de 2.500 lei,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sunt indispensabile pentru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desfăşurarea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activităţii</w:t>
            </w:r>
            <w:proofErr w:type="spellEnd"/>
          </w:p>
          <w:p w14:paraId="185BDC92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-în cazul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cumpăririi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online al materialelor, comanda detaliată, este suficient</w:t>
            </w:r>
          </w:p>
        </w:tc>
      </w:tr>
      <w:tr w:rsidR="00F1232B" w:rsidRPr="00F1232B" w14:paraId="2A9B224E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2FA9C8D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Cheltuieli administrative</w:t>
            </w:r>
          </w:p>
        </w:tc>
        <w:tc>
          <w:tcPr>
            <w:tcW w:w="1170" w:type="dxa"/>
            <w:shd w:val="clear" w:color="auto" w:fill="auto"/>
          </w:tcPr>
          <w:p w14:paraId="1F89AE4E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2520" w:type="dxa"/>
            <w:shd w:val="clear" w:color="auto" w:fill="auto"/>
          </w:tcPr>
          <w:p w14:paraId="7FF09889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DA: factură electronică emisă, trimisă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primită prin sistemul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e-Factură, cu indicarea categoriei de cheltuială </w:t>
            </w:r>
          </w:p>
        </w:tc>
        <w:tc>
          <w:tcPr>
            <w:tcW w:w="1710" w:type="dxa"/>
            <w:shd w:val="clear" w:color="auto" w:fill="auto"/>
          </w:tcPr>
          <w:p w14:paraId="4C18B46F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</w:t>
            </w:r>
          </w:p>
          <w:p w14:paraId="6ACED91E" w14:textId="77777777" w:rsidR="00F1232B" w:rsidRPr="00F1232B" w:rsidRDefault="00F1232B" w:rsidP="00F1232B">
            <w:pPr>
              <w:spacing w:after="12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</w:tcPr>
          <w:p w14:paraId="1C6C4917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-notă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recepţie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 bon consum </w:t>
            </w:r>
          </w:p>
          <w:p w14:paraId="013CAE22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extras de cont</w:t>
            </w:r>
          </w:p>
        </w:tc>
        <w:tc>
          <w:tcPr>
            <w:tcW w:w="4590" w:type="dxa"/>
            <w:shd w:val="clear" w:color="auto" w:fill="auto"/>
          </w:tcPr>
          <w:p w14:paraId="0FF0F95D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-se vor deconta doar pe perioada de desfășurare a proiectului prevăzută în contractul de finanțare</w:t>
            </w:r>
          </w:p>
        </w:tc>
      </w:tr>
      <w:tr w:rsidR="00F1232B" w:rsidRPr="00F1232B" w14:paraId="6A71BB68" w14:textId="77777777" w:rsidTr="0008091F">
        <w:trPr>
          <w:jc w:val="center"/>
        </w:trPr>
        <w:tc>
          <w:tcPr>
            <w:tcW w:w="2245" w:type="dxa"/>
            <w:shd w:val="clear" w:color="auto" w:fill="auto"/>
          </w:tcPr>
          <w:p w14:paraId="1C7FCE3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Alte cheltuieli</w:t>
            </w:r>
          </w:p>
        </w:tc>
        <w:tc>
          <w:tcPr>
            <w:tcW w:w="1170" w:type="dxa"/>
            <w:shd w:val="clear" w:color="auto" w:fill="auto"/>
          </w:tcPr>
          <w:p w14:paraId="6E15B9F9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2520" w:type="dxa"/>
            <w:shd w:val="clear" w:color="auto" w:fill="auto"/>
          </w:tcPr>
          <w:p w14:paraId="528C864C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DA; cu indicarea categoriei de cheltuială </w:t>
            </w:r>
          </w:p>
        </w:tc>
        <w:tc>
          <w:tcPr>
            <w:tcW w:w="1710" w:type="dxa"/>
            <w:shd w:val="clear" w:color="auto" w:fill="auto"/>
          </w:tcPr>
          <w:p w14:paraId="7408E500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1980" w:type="dxa"/>
            <w:shd w:val="clear" w:color="auto" w:fill="auto"/>
          </w:tcPr>
          <w:p w14:paraId="14463793" w14:textId="77777777" w:rsidR="00F1232B" w:rsidRPr="00F1232B" w:rsidRDefault="00F1232B" w:rsidP="00F1232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notă </w:t>
            </w:r>
            <w:proofErr w:type="spellStart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recepţie</w:t>
            </w:r>
            <w:proofErr w:type="spellEnd"/>
            <w:r w:rsidRPr="00F123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bon consum – dacă este cazul; lista de inventar (daca e cazul)</w:t>
            </w:r>
          </w:p>
        </w:tc>
        <w:tc>
          <w:tcPr>
            <w:tcW w:w="4590" w:type="dxa"/>
            <w:shd w:val="clear" w:color="auto" w:fill="auto"/>
          </w:tcPr>
          <w:p w14:paraId="64CEBE91" w14:textId="77777777" w:rsidR="00F1232B" w:rsidRPr="00F1232B" w:rsidRDefault="00F1232B" w:rsidP="00F1232B">
            <w:pPr>
              <w:spacing w:after="12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82F72DA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Pentru justificarea cheltuielilor efectuate, se vor prezenta următoarele documente în copie certificată de beneficiar prin semnătură și ștampilă cu mențiunea </w:t>
      </w:r>
      <w:r w:rsidRPr="00F123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“ÎN CONFORMITATE CU ORIGINALUL, ACEASTĂ CHELTUIALĂ NU A MAI FOST DECONTATĂ LA UN ALT FINANȚATOR”.  </w:t>
      </w:r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Facturile trebuie să menționeze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detalaiat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bunul achiziționat, serviciul prestat sau lucrarea efectuată. Pe facturile/documentele se va aplica ștampila, care atestă că sunt finanțat din fondurile bugetului local pentru evitarea dublei finanțări. Pentru evitarea dublei finanțări, toate facturile vor fi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înscripționate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pe față sub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semnatura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reprezentatnului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legal al beneficiarului cu ”Proiect cofinanțat din bugetul local al Municipiului Odorheiu Secuiesc în valoare de __________lei,  nr. contract _________/2025.</w:t>
      </w:r>
    </w:p>
    <w:p w14:paraId="3F55E884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Pe baza acestor documente justificative Municipiul Odorheiu Secuiesc va efectua plata către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organizaţia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beneficiară. </w:t>
      </w:r>
    </w:p>
    <w:p w14:paraId="5DC5E931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proofErr w:type="spellStart"/>
      <w:r w:rsidRPr="00F1232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Observaţie</w:t>
      </w:r>
      <w:proofErr w:type="spellEnd"/>
    </w:p>
    <w:p w14:paraId="0C8FE375" w14:textId="77777777" w:rsidR="00F1232B" w:rsidRPr="00F1232B" w:rsidRDefault="00F1232B" w:rsidP="00F1232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În vederea participării la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acţiunile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proiectului a unui reprezentant al Municipiului Odorheiu Secuiesc, beneficiarul va transmite Primăriei Municipiului Odorheiu Secuiesc, Serviciul organizare, turism și proiecte proprii, Compartimentul administrare proiecte proprii înainte cu 5 zile lucrătoare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desfăşurării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evenimentelor proiectului o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invitaţie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, în care va fi precizată data, ora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locul de </w:t>
      </w:r>
      <w:proofErr w:type="spellStart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>desfăşurare</w:t>
      </w:r>
      <w:proofErr w:type="spellEnd"/>
      <w:r w:rsidRPr="00F1232B">
        <w:rPr>
          <w:rFonts w:ascii="Times New Roman" w:eastAsia="Times New Roman" w:hAnsi="Times New Roman" w:cs="Times New Roman"/>
          <w:kern w:val="0"/>
          <w14:ligatures w14:val="none"/>
        </w:rPr>
        <w:t xml:space="preserve"> a evenimentului. </w:t>
      </w:r>
    </w:p>
    <w:p w14:paraId="3455D7C3" w14:textId="77777777" w:rsidR="00845BDC" w:rsidRDefault="00845BDC"/>
    <w:sectPr w:rsidR="00845BDC" w:rsidSect="00F123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AD24" w14:textId="77777777" w:rsidR="00F1232B" w:rsidRDefault="00F1232B">
    <w:pPr>
      <w:pStyle w:val="llb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108</w:t>
    </w:r>
    <w:r>
      <w:rPr>
        <w:noProof/>
      </w:rPr>
      <w:fldChar w:fldCharType="end"/>
    </w:r>
  </w:p>
  <w:p w14:paraId="659FE2F1" w14:textId="77777777" w:rsidR="00F1232B" w:rsidRDefault="00F1232B">
    <w:pPr>
      <w:pStyle w:val="llb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A71E6"/>
    <w:multiLevelType w:val="hybridMultilevel"/>
    <w:tmpl w:val="C0809B50"/>
    <w:lvl w:ilvl="0" w:tplc="6BC26934">
      <w:numFmt w:val="bullet"/>
      <w:lvlText w:val="-"/>
      <w:lvlJc w:val="left"/>
      <w:pPr>
        <w:tabs>
          <w:tab w:val="num" w:pos="1108"/>
        </w:tabs>
        <w:ind w:left="11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3852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2B"/>
    <w:rsid w:val="00295E3F"/>
    <w:rsid w:val="00845BDC"/>
    <w:rsid w:val="00A04BE1"/>
    <w:rsid w:val="00A81F6B"/>
    <w:rsid w:val="00F1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918B"/>
  <w15:chartTrackingRefBased/>
  <w15:docId w15:val="{D1D923C2-95C9-4814-B254-292336EA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23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23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23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23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23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23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23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23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23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23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232B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F1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1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udvarhely.ro/palyazat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2028</Words>
  <Characters>11767</Characters>
  <Application>Microsoft Office Word</Application>
  <DocSecurity>0</DocSecurity>
  <Lines>98</Lines>
  <Paragraphs>27</Paragraphs>
  <ScaleCrop>false</ScaleCrop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Ágnes</dc:creator>
  <cp:keywords/>
  <dc:description/>
  <cp:lastModifiedBy>Biró Ágnes</cp:lastModifiedBy>
  <cp:revision>1</cp:revision>
  <dcterms:created xsi:type="dcterms:W3CDTF">2025-04-02T08:56:00Z</dcterms:created>
  <dcterms:modified xsi:type="dcterms:W3CDTF">2025-04-02T09:00:00Z</dcterms:modified>
</cp:coreProperties>
</file>